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17E11F" w14:textId="75F720CC" w:rsidR="004D34C1" w:rsidRPr="00040922" w:rsidRDefault="004D34C1" w:rsidP="007C0D70">
      <w:pPr>
        <w:spacing w:after="120"/>
        <w:contextualSpacing/>
        <w:jc w:val="right"/>
        <w:rPr>
          <w:rFonts w:cstheme="minorHAnsi"/>
        </w:rPr>
      </w:pPr>
      <w:r w:rsidRPr="00040922">
        <w:rPr>
          <w:rFonts w:cstheme="minorHAnsi"/>
          <w:b/>
          <w:bCs/>
        </w:rPr>
        <w:t xml:space="preserve">Załącznik </w:t>
      </w:r>
      <w:r w:rsidR="005716A0">
        <w:rPr>
          <w:rFonts w:cstheme="minorHAnsi"/>
          <w:b/>
          <w:bCs/>
        </w:rPr>
        <w:t>3</w:t>
      </w:r>
    </w:p>
    <w:p w14:paraId="29244791" w14:textId="77777777" w:rsidR="00AB28A0" w:rsidRPr="00040922" w:rsidRDefault="00AB28A0" w:rsidP="007C65D8">
      <w:pPr>
        <w:spacing w:after="120"/>
        <w:contextualSpacing/>
        <w:jc w:val="center"/>
        <w:rPr>
          <w:rFonts w:cstheme="minorHAnsi"/>
          <w:b/>
        </w:rPr>
      </w:pPr>
    </w:p>
    <w:p w14:paraId="452B66C6" w14:textId="652E1F8B" w:rsidR="00C909C9" w:rsidRDefault="00CB0374" w:rsidP="00C909C9">
      <w:pPr>
        <w:spacing w:after="120"/>
        <w:jc w:val="both"/>
        <w:rPr>
          <w:rFonts w:cstheme="minorHAnsi"/>
          <w:b/>
        </w:rPr>
      </w:pPr>
      <w:r>
        <w:rPr>
          <w:rFonts w:cstheme="minorHAnsi"/>
          <w:b/>
        </w:rPr>
        <w:t>Oświadczenie oferenta</w:t>
      </w:r>
      <w:r w:rsidR="00C909C9" w:rsidRPr="00C909C9">
        <w:rPr>
          <w:rFonts w:cstheme="minorHAnsi"/>
          <w:b/>
        </w:rPr>
        <w:t xml:space="preserve"> w zakresie zgodności </w:t>
      </w:r>
      <w:r w:rsidR="00407840">
        <w:rPr>
          <w:rFonts w:cstheme="minorHAnsi"/>
          <w:b/>
        </w:rPr>
        <w:t>przedmiotu oferty z</w:t>
      </w:r>
      <w:r w:rsidR="00C909C9" w:rsidRPr="00C909C9">
        <w:rPr>
          <w:rFonts w:cstheme="minorHAnsi"/>
          <w:b/>
        </w:rPr>
        <w:t xml:space="preserve"> „zasadą DNSH” oraz zgodności z</w:t>
      </w:r>
      <w:r w:rsidR="00295A4D">
        <w:rPr>
          <w:rFonts w:cstheme="minorHAnsi"/>
          <w:b/>
        </w:rPr>
        <w:t> </w:t>
      </w:r>
      <w:r w:rsidR="00C909C9" w:rsidRPr="00C909C9">
        <w:rPr>
          <w:rFonts w:cstheme="minorHAnsi"/>
          <w:b/>
        </w:rPr>
        <w:t>kryteriami zielonych zamówień publicznych.</w:t>
      </w:r>
    </w:p>
    <w:p w14:paraId="289295C4" w14:textId="77777777" w:rsidR="00CB0374" w:rsidRDefault="00CB0374" w:rsidP="00CB0374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Ja, niżej podpisany/a, działając w imieniu i na rzecz:</w:t>
      </w:r>
    </w:p>
    <w:p w14:paraId="1A885061" w14:textId="77777777" w:rsidR="00CB0374" w:rsidRDefault="00CB0374" w:rsidP="00CB0374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b/>
          <w:bCs/>
          <w:sz w:val="24"/>
          <w:szCs w:val="24"/>
          <w:lang w:eastAsia="pl-PL"/>
        </w:rPr>
        <w:t>Nazwa Oferenta:</w:t>
      </w:r>
      <w:r>
        <w:rPr>
          <w:rFonts w:eastAsia="Times New Roman" w:cstheme="minorHAnsi"/>
          <w:sz w:val="24"/>
          <w:szCs w:val="24"/>
          <w:lang w:eastAsia="pl-PL"/>
        </w:rPr>
        <w:t xml:space="preserve"> ........................................................................................................</w:t>
      </w:r>
      <w:r>
        <w:rPr>
          <w:rFonts w:eastAsia="Times New Roman" w:cstheme="minorHAnsi"/>
          <w:sz w:val="24"/>
          <w:szCs w:val="24"/>
          <w:lang w:eastAsia="pl-PL"/>
        </w:rPr>
        <w:br/>
      </w:r>
      <w:r>
        <w:rPr>
          <w:rFonts w:eastAsia="Times New Roman" w:cstheme="minorHAnsi"/>
          <w:b/>
          <w:bCs/>
          <w:sz w:val="24"/>
          <w:szCs w:val="24"/>
          <w:lang w:eastAsia="pl-PL"/>
        </w:rPr>
        <w:t>Adres siedziby:</w:t>
      </w:r>
      <w:r>
        <w:rPr>
          <w:rFonts w:eastAsia="Times New Roman" w:cstheme="minorHAnsi"/>
          <w:sz w:val="24"/>
          <w:szCs w:val="24"/>
          <w:lang w:eastAsia="pl-PL"/>
        </w:rPr>
        <w:t xml:space="preserve"> ...........................................................................................................</w:t>
      </w:r>
      <w:r>
        <w:rPr>
          <w:rFonts w:eastAsia="Times New Roman" w:cstheme="minorHAnsi"/>
          <w:sz w:val="24"/>
          <w:szCs w:val="24"/>
          <w:lang w:eastAsia="pl-PL"/>
        </w:rPr>
        <w:br/>
      </w:r>
      <w:r>
        <w:rPr>
          <w:rFonts w:eastAsia="Times New Roman" w:cstheme="minorHAnsi"/>
          <w:b/>
          <w:bCs/>
          <w:sz w:val="24"/>
          <w:szCs w:val="24"/>
          <w:lang w:eastAsia="pl-PL"/>
        </w:rPr>
        <w:t>NIP / REGON:</w:t>
      </w:r>
      <w:r>
        <w:rPr>
          <w:rFonts w:eastAsia="Times New Roman" w:cstheme="minorHAnsi"/>
          <w:sz w:val="24"/>
          <w:szCs w:val="24"/>
          <w:lang w:eastAsia="pl-PL"/>
        </w:rPr>
        <w:t xml:space="preserve"> ..............................................................................................................</w:t>
      </w:r>
      <w:r>
        <w:rPr>
          <w:rFonts w:eastAsia="Times New Roman" w:cstheme="minorHAnsi"/>
          <w:sz w:val="24"/>
          <w:szCs w:val="24"/>
          <w:lang w:eastAsia="pl-PL"/>
        </w:rPr>
        <w:br/>
      </w:r>
      <w:r>
        <w:rPr>
          <w:rFonts w:eastAsia="Times New Roman" w:cstheme="minorHAnsi"/>
          <w:b/>
          <w:bCs/>
          <w:sz w:val="24"/>
          <w:szCs w:val="24"/>
          <w:lang w:eastAsia="pl-PL"/>
        </w:rPr>
        <w:t>Osoba uprawniona do reprezentacji:</w:t>
      </w:r>
      <w:r>
        <w:rPr>
          <w:rFonts w:eastAsia="Times New Roman" w:cstheme="minorHAnsi"/>
          <w:sz w:val="24"/>
          <w:szCs w:val="24"/>
          <w:lang w:eastAsia="pl-PL"/>
        </w:rPr>
        <w:t xml:space="preserve"> .........................................................................</w:t>
      </w:r>
    </w:p>
    <w:p w14:paraId="68878F86" w14:textId="02B9A19F" w:rsidR="00CB0374" w:rsidRPr="00415E3C" w:rsidRDefault="00CB0374" w:rsidP="00415E3C">
      <w:pPr>
        <w:spacing w:after="120"/>
        <w:jc w:val="both"/>
        <w:rPr>
          <w:rFonts w:cstheme="minorHAnsi"/>
        </w:rPr>
      </w:pPr>
      <w:r w:rsidRPr="00CB0374">
        <w:rPr>
          <w:rFonts w:cstheme="minorHAnsi"/>
        </w:rPr>
        <w:t xml:space="preserve">niniejszym oświadczam, że realizacja przedmiotowego zamówienia będzie prowadzona z zachowaniem zasad zgodnych z wymogami środowiskowymi, w tym zasadą „niewyrządzania znaczącej szkody środowisku” (DNSH), określoną w art. 17 Rozporządzenia (UE) 2021/241 ustanawiającego Instrument na rzecz Odbudowy i Zwiększania Odporności, oraz zgodnie z kryteriami </w:t>
      </w:r>
      <w:r w:rsidR="00407840">
        <w:rPr>
          <w:rFonts w:cstheme="minorHAnsi"/>
        </w:rPr>
        <w:t>„</w:t>
      </w:r>
      <w:r w:rsidRPr="00CB0374">
        <w:rPr>
          <w:rFonts w:cstheme="minorHAnsi"/>
        </w:rPr>
        <w:t>zielonych zamówień</w:t>
      </w:r>
      <w:r w:rsidR="00407840">
        <w:rPr>
          <w:rFonts w:cstheme="minorHAnsi"/>
        </w:rPr>
        <w:t>”</w:t>
      </w:r>
      <w:r w:rsidRPr="00CB0374">
        <w:rPr>
          <w:rFonts w:cstheme="minorHAnsi"/>
        </w:rPr>
        <w:t>.</w:t>
      </w:r>
    </w:p>
    <w:p w14:paraId="4649F5AD" w14:textId="5EFC3A00" w:rsidR="00CB0374" w:rsidRDefault="00CB0374" w:rsidP="00415E3C">
      <w:pPr>
        <w:spacing w:after="120"/>
        <w:jc w:val="both"/>
        <w:rPr>
          <w:rFonts w:cstheme="minorHAnsi"/>
        </w:rPr>
      </w:pPr>
      <w:r w:rsidRPr="00CB0374">
        <w:rPr>
          <w:rFonts w:cstheme="minorHAnsi"/>
        </w:rPr>
        <w:t>Oświadczam, że oferowane w ramach zamówienia urządzenia spełniają wymagania w zakresie ograniczania negatywnego wpływu na środowisko, w szczególności poprzez:</w:t>
      </w:r>
    </w:p>
    <w:p w14:paraId="32FD86D3" w14:textId="57557E2F" w:rsidR="00415E3C" w:rsidRPr="00407840" w:rsidRDefault="00415E3C" w:rsidP="00415E3C">
      <w:pPr>
        <w:spacing w:after="120"/>
        <w:jc w:val="both"/>
        <w:rPr>
          <w:rFonts w:cstheme="minorHAnsi"/>
          <w:b/>
          <w:bCs/>
        </w:rPr>
      </w:pPr>
      <w:r w:rsidRPr="00407840">
        <w:rPr>
          <w:rFonts w:cstheme="minorHAnsi"/>
          <w:b/>
          <w:bCs/>
        </w:rPr>
        <w:t>1. Minimalizacj</w:t>
      </w:r>
      <w:r w:rsidR="00CB0374" w:rsidRPr="00407840">
        <w:rPr>
          <w:rFonts w:cstheme="minorHAnsi"/>
          <w:b/>
          <w:bCs/>
        </w:rPr>
        <w:t>ę</w:t>
      </w:r>
      <w:r w:rsidRPr="00407840">
        <w:rPr>
          <w:rFonts w:cstheme="minorHAnsi"/>
          <w:b/>
          <w:bCs/>
        </w:rPr>
        <w:t xml:space="preserve"> emisji zanieczyszczeń:</w:t>
      </w:r>
    </w:p>
    <w:p w14:paraId="3E95B52D" w14:textId="5FB0C5D1" w:rsidR="00415E3C" w:rsidRPr="00415E3C" w:rsidRDefault="00415E3C" w:rsidP="00415E3C">
      <w:pPr>
        <w:spacing w:after="120"/>
        <w:jc w:val="both"/>
        <w:rPr>
          <w:rFonts w:cstheme="minorHAnsi"/>
        </w:rPr>
      </w:pPr>
      <w:r w:rsidRPr="00415E3C">
        <w:rPr>
          <w:rFonts w:cstheme="minorHAnsi"/>
        </w:rPr>
        <w:t xml:space="preserve">Wozy wysięgnikowe do ładownych kontenerów (tzw. </w:t>
      </w:r>
      <w:r w:rsidR="00CB0374">
        <w:rPr>
          <w:rFonts w:cstheme="minorHAnsi"/>
        </w:rPr>
        <w:t>reachstackery</w:t>
      </w:r>
      <w:r w:rsidRPr="00415E3C">
        <w:rPr>
          <w:rFonts w:cstheme="minorHAnsi"/>
        </w:rPr>
        <w:t xml:space="preserve"> ciężkie) wyposażone są w</w:t>
      </w:r>
      <w:r w:rsidR="006A7B90">
        <w:rPr>
          <w:rFonts w:cstheme="minorHAnsi"/>
        </w:rPr>
        <w:t> </w:t>
      </w:r>
      <w:r w:rsidRPr="00415E3C">
        <w:rPr>
          <w:rFonts w:cstheme="minorHAnsi"/>
        </w:rPr>
        <w:t>nowoczesny, wysokoprężny silnik o minimalnej mocy 260 kW, spełniający normę emisji spalin co najmniej Euro Stage</w:t>
      </w:r>
      <w:r>
        <w:rPr>
          <w:rFonts w:cstheme="minorHAnsi"/>
        </w:rPr>
        <w:t> </w:t>
      </w:r>
      <w:r w:rsidRPr="00415E3C">
        <w:rPr>
          <w:rFonts w:cstheme="minorHAnsi"/>
        </w:rPr>
        <w:t>5. Zapewnia to znaczącą redukcję emisji tlenków azotu (NOx), cząstek stałych (PM) oraz innych substancji szkodliwych dla środowiska, zgodnie z obowiązującymi standardami.</w:t>
      </w:r>
    </w:p>
    <w:p w14:paraId="1054578B" w14:textId="17EEBE9B" w:rsidR="00415E3C" w:rsidRPr="00407840" w:rsidRDefault="00415E3C" w:rsidP="00415E3C">
      <w:pPr>
        <w:spacing w:after="120"/>
        <w:jc w:val="both"/>
        <w:rPr>
          <w:rFonts w:cstheme="minorHAnsi"/>
          <w:b/>
          <w:bCs/>
        </w:rPr>
      </w:pPr>
      <w:r w:rsidRPr="00407840">
        <w:rPr>
          <w:rFonts w:cstheme="minorHAnsi"/>
          <w:b/>
          <w:bCs/>
        </w:rPr>
        <w:t>2. Efektywność energetyczn</w:t>
      </w:r>
      <w:r w:rsidR="00CB0374" w:rsidRPr="00407840">
        <w:rPr>
          <w:rFonts w:cstheme="minorHAnsi"/>
          <w:b/>
          <w:bCs/>
        </w:rPr>
        <w:t>ą</w:t>
      </w:r>
      <w:r w:rsidRPr="00407840">
        <w:rPr>
          <w:rFonts w:cstheme="minorHAnsi"/>
          <w:b/>
          <w:bCs/>
        </w:rPr>
        <w:t>:</w:t>
      </w:r>
    </w:p>
    <w:p w14:paraId="6EA9E9F7" w14:textId="7480D704" w:rsidR="00415E3C" w:rsidRPr="00415E3C" w:rsidRDefault="00415E3C" w:rsidP="00415E3C">
      <w:pPr>
        <w:spacing w:after="120"/>
        <w:jc w:val="both"/>
        <w:rPr>
          <w:rFonts w:cstheme="minorHAnsi"/>
        </w:rPr>
      </w:pPr>
      <w:r w:rsidRPr="00415E3C">
        <w:rPr>
          <w:rFonts w:cstheme="minorHAnsi"/>
        </w:rPr>
        <w:t>Urządzenie cechuje zoptymalizowane zużycie paliwa oraz zastosowanie technologii zwiększających efektywność energetyczną. W szczególności oświetlenie pozycyjne i obrysowe wozów wysięgnikowych do ładownych kontenerów wykonane jest w technologii LED, co przyczynia się do dodatkowego zmniejszenia zużycia energii i podnosi energooszczędność maszyny.</w:t>
      </w:r>
    </w:p>
    <w:p w14:paraId="07819515" w14:textId="77777777" w:rsidR="00415E3C" w:rsidRPr="00407840" w:rsidRDefault="00415E3C" w:rsidP="00415E3C">
      <w:pPr>
        <w:spacing w:after="120"/>
        <w:jc w:val="both"/>
        <w:rPr>
          <w:rFonts w:cstheme="minorHAnsi"/>
          <w:b/>
          <w:bCs/>
        </w:rPr>
      </w:pPr>
      <w:r w:rsidRPr="00407840">
        <w:rPr>
          <w:rFonts w:cstheme="minorHAnsi"/>
          <w:b/>
          <w:bCs/>
        </w:rPr>
        <w:t>3. Ograniczenie hałasu i innych uciążliwości:</w:t>
      </w:r>
    </w:p>
    <w:p w14:paraId="02CDC63F" w14:textId="2979DE5B" w:rsidR="00415E3C" w:rsidRPr="00415E3C" w:rsidRDefault="00415E3C" w:rsidP="00415E3C">
      <w:pPr>
        <w:spacing w:after="120"/>
        <w:jc w:val="both"/>
        <w:rPr>
          <w:rFonts w:cstheme="minorHAnsi"/>
        </w:rPr>
      </w:pPr>
      <w:r w:rsidRPr="00415E3C">
        <w:rPr>
          <w:rFonts w:cstheme="minorHAnsi"/>
        </w:rPr>
        <w:t xml:space="preserve">Konstrukcja </w:t>
      </w:r>
      <w:r w:rsidR="00CB0374">
        <w:rPr>
          <w:rFonts w:cstheme="minorHAnsi"/>
        </w:rPr>
        <w:t>reachstacker</w:t>
      </w:r>
      <w:r w:rsidRPr="00415E3C">
        <w:rPr>
          <w:rFonts w:cstheme="minorHAnsi"/>
        </w:rPr>
        <w:t>ów gwarantuje redukcję emisji hałasu do poziomów zgodnych z</w:t>
      </w:r>
      <w:r w:rsidR="006A7B90">
        <w:rPr>
          <w:rFonts w:cstheme="minorHAnsi"/>
        </w:rPr>
        <w:t> </w:t>
      </w:r>
      <w:r w:rsidRPr="00415E3C">
        <w:rPr>
          <w:rFonts w:cstheme="minorHAnsi"/>
        </w:rPr>
        <w:t>obowiązującymi normami, co wpływa korzystnie na środowisko akustyczne oraz warunki pracy operatorów.</w:t>
      </w:r>
    </w:p>
    <w:p w14:paraId="2B3B0E51" w14:textId="77777777" w:rsidR="00415E3C" w:rsidRPr="00407840" w:rsidRDefault="00415E3C" w:rsidP="00415E3C">
      <w:pPr>
        <w:spacing w:after="120"/>
        <w:jc w:val="both"/>
        <w:rPr>
          <w:rFonts w:cstheme="minorHAnsi"/>
          <w:b/>
          <w:bCs/>
        </w:rPr>
      </w:pPr>
      <w:r w:rsidRPr="00407840">
        <w:rPr>
          <w:rFonts w:cstheme="minorHAnsi"/>
          <w:b/>
          <w:bCs/>
        </w:rPr>
        <w:t>4. Zarządzanie odpadami i substancjami niebezpiecznymi:</w:t>
      </w:r>
    </w:p>
    <w:p w14:paraId="254D61CD" w14:textId="34534347" w:rsidR="00415E3C" w:rsidRPr="00415E3C" w:rsidRDefault="00415E3C" w:rsidP="00415E3C">
      <w:pPr>
        <w:spacing w:after="120"/>
        <w:jc w:val="both"/>
        <w:rPr>
          <w:rFonts w:cstheme="minorHAnsi"/>
        </w:rPr>
      </w:pPr>
      <w:r w:rsidRPr="00415E3C">
        <w:rPr>
          <w:rFonts w:cstheme="minorHAnsi"/>
        </w:rPr>
        <w:t xml:space="preserve">Wóz wysięgnikowy do ładownych kontenerów (tzw. </w:t>
      </w:r>
      <w:r w:rsidR="00CB0374">
        <w:rPr>
          <w:rFonts w:cstheme="minorHAnsi"/>
        </w:rPr>
        <w:t>reachstacker</w:t>
      </w:r>
      <w:r w:rsidRPr="00415E3C">
        <w:rPr>
          <w:rFonts w:cstheme="minorHAnsi"/>
        </w:rPr>
        <w:t xml:space="preserve"> ciężki) zaprojektowany jest w sposób umożliwiający właściwe gospodarowanie odpadami eksploatacyjnymi, takimi jak oleje czy filtry, zgodnie z zasadami gospodarki obiegu zamkniętego oraz przepisami ochrony środowiska.</w:t>
      </w:r>
    </w:p>
    <w:p w14:paraId="0B430D79" w14:textId="77777777" w:rsidR="001C672D" w:rsidRDefault="001C672D" w:rsidP="00415E3C">
      <w:pPr>
        <w:spacing w:after="120"/>
        <w:jc w:val="both"/>
        <w:rPr>
          <w:rFonts w:cstheme="minorHAnsi"/>
          <w:b/>
          <w:bCs/>
        </w:rPr>
      </w:pPr>
    </w:p>
    <w:p w14:paraId="1432D53E" w14:textId="77777777" w:rsidR="001C672D" w:rsidRDefault="001C672D" w:rsidP="00415E3C">
      <w:pPr>
        <w:spacing w:after="120"/>
        <w:jc w:val="both"/>
        <w:rPr>
          <w:rFonts w:cstheme="minorHAnsi"/>
          <w:b/>
          <w:bCs/>
        </w:rPr>
      </w:pPr>
    </w:p>
    <w:p w14:paraId="24ADCCC4" w14:textId="26688E96" w:rsidR="00415E3C" w:rsidRPr="00407840" w:rsidRDefault="00415E3C" w:rsidP="00415E3C">
      <w:pPr>
        <w:spacing w:after="120"/>
        <w:jc w:val="both"/>
        <w:rPr>
          <w:rFonts w:cstheme="minorHAnsi"/>
          <w:b/>
          <w:bCs/>
        </w:rPr>
      </w:pPr>
      <w:r w:rsidRPr="00407840">
        <w:rPr>
          <w:rFonts w:cstheme="minorHAnsi"/>
          <w:b/>
          <w:bCs/>
        </w:rPr>
        <w:lastRenderedPageBreak/>
        <w:t>5. Trwałość i możliwość serwisowania:</w:t>
      </w:r>
    </w:p>
    <w:p w14:paraId="702F36A5" w14:textId="02682076" w:rsidR="00CB0374" w:rsidRDefault="00415E3C" w:rsidP="00415E3C">
      <w:pPr>
        <w:spacing w:after="120"/>
        <w:jc w:val="both"/>
        <w:rPr>
          <w:rFonts w:cstheme="minorHAnsi"/>
        </w:rPr>
      </w:pPr>
      <w:r w:rsidRPr="00415E3C">
        <w:rPr>
          <w:rFonts w:cstheme="minorHAnsi"/>
        </w:rPr>
        <w:t>Urządzenia cechują się wysoką trwałością i łatwością serwisowania, co ogranicza częstotliwość wymiany części eksploatacyjnych i związane z tym odpady, przyczyniając się do ograniczenia śladu środowiskowego w całym cyklu życia maszyny.</w:t>
      </w:r>
    </w:p>
    <w:p w14:paraId="2801FF1C" w14:textId="7D8A9495" w:rsidR="002E33E3" w:rsidRDefault="00CB0374" w:rsidP="001C672D">
      <w:pPr>
        <w:spacing w:after="120"/>
        <w:rPr>
          <w:rFonts w:cstheme="minorHAnsi"/>
        </w:rPr>
      </w:pPr>
      <w:r>
        <w:rPr>
          <w:rFonts w:cstheme="minorHAnsi"/>
        </w:rPr>
        <w:t>Oferent potwierdza, iż zapoznał się w całości z</w:t>
      </w:r>
      <w:r w:rsidR="002E33E3">
        <w:rPr>
          <w:rFonts w:cstheme="minorHAnsi"/>
        </w:rPr>
        <w:t xml:space="preserve"> zapis</w:t>
      </w:r>
      <w:r>
        <w:rPr>
          <w:rFonts w:cstheme="minorHAnsi"/>
        </w:rPr>
        <w:t>ami</w:t>
      </w:r>
      <w:r w:rsidR="002E33E3">
        <w:rPr>
          <w:rFonts w:cstheme="minorHAnsi"/>
        </w:rPr>
        <w:t xml:space="preserve"> </w:t>
      </w:r>
      <w:r w:rsidR="002E33E3" w:rsidRPr="002E33E3">
        <w:rPr>
          <w:rFonts w:cstheme="minorHAnsi"/>
        </w:rPr>
        <w:t>Zapytani</w:t>
      </w:r>
      <w:r w:rsidR="002E33E3">
        <w:rPr>
          <w:rFonts w:cstheme="minorHAnsi"/>
        </w:rPr>
        <w:t>a</w:t>
      </w:r>
      <w:r w:rsidR="002E33E3" w:rsidRPr="002E33E3">
        <w:rPr>
          <w:rFonts w:cstheme="minorHAnsi"/>
        </w:rPr>
        <w:t xml:space="preserve"> ofertowe</w:t>
      </w:r>
      <w:r w:rsidR="002E33E3">
        <w:rPr>
          <w:rFonts w:cstheme="minorHAnsi"/>
        </w:rPr>
        <w:t>go</w:t>
      </w:r>
      <w:r w:rsidR="002E33E3" w:rsidRPr="002E33E3">
        <w:rPr>
          <w:rFonts w:cstheme="minorHAnsi"/>
        </w:rPr>
        <w:t xml:space="preserve"> nr </w:t>
      </w:r>
      <w:r w:rsidR="005716A0" w:rsidRPr="005716A0">
        <w:rPr>
          <w:rFonts w:cstheme="minorHAnsi"/>
          <w:b/>
        </w:rPr>
        <w:t xml:space="preserve">2025-75858-252105 </w:t>
      </w:r>
      <w:r w:rsidR="002E33E3" w:rsidRPr="002E33E3">
        <w:rPr>
          <w:rFonts w:cstheme="minorHAnsi"/>
          <w:b/>
        </w:rPr>
        <w:t xml:space="preserve">z dnia </w:t>
      </w:r>
      <w:r w:rsidR="005716A0">
        <w:rPr>
          <w:rFonts w:cstheme="minorHAnsi"/>
          <w:b/>
        </w:rPr>
        <w:t>0</w:t>
      </w:r>
      <w:r w:rsidR="00C80F87">
        <w:rPr>
          <w:rFonts w:cstheme="minorHAnsi"/>
          <w:b/>
        </w:rPr>
        <w:t>7</w:t>
      </w:r>
      <w:r w:rsidR="002E33E3" w:rsidRPr="002E33E3">
        <w:rPr>
          <w:rFonts w:cstheme="minorHAnsi"/>
          <w:b/>
        </w:rPr>
        <w:t>.</w:t>
      </w:r>
      <w:r w:rsidR="005716A0">
        <w:rPr>
          <w:rFonts w:cstheme="minorHAnsi"/>
          <w:b/>
        </w:rPr>
        <w:t>11</w:t>
      </w:r>
      <w:r w:rsidR="002E33E3" w:rsidRPr="002E33E3">
        <w:rPr>
          <w:rFonts w:cstheme="minorHAnsi"/>
          <w:b/>
        </w:rPr>
        <w:t>.2025</w:t>
      </w:r>
      <w:r w:rsidR="002E33E3">
        <w:rPr>
          <w:rFonts w:cstheme="minorHAnsi"/>
        </w:rPr>
        <w:t xml:space="preserve"> </w:t>
      </w:r>
      <w:r w:rsidR="002E33E3" w:rsidRPr="002E33E3">
        <w:rPr>
          <w:rFonts w:cstheme="minorHAnsi"/>
        </w:rPr>
        <w:t>zamieszczone</w:t>
      </w:r>
      <w:r w:rsidR="002E33E3">
        <w:rPr>
          <w:rFonts w:cstheme="minorHAnsi"/>
        </w:rPr>
        <w:t>go</w:t>
      </w:r>
      <w:r w:rsidR="002E33E3" w:rsidRPr="002E33E3">
        <w:rPr>
          <w:rFonts w:cstheme="minorHAnsi"/>
        </w:rPr>
        <w:t xml:space="preserve"> na stronie internetowej: </w:t>
      </w:r>
      <w:hyperlink r:id="rId8" w:history="1">
        <w:r w:rsidR="002E33E3" w:rsidRPr="005A059F">
          <w:rPr>
            <w:rStyle w:val="Hipercze"/>
            <w:rFonts w:cstheme="minorHAnsi"/>
          </w:rPr>
          <w:t>https://bazakonkurencyjnosci.funduszeeuropejskie.gov.pl</w:t>
        </w:r>
      </w:hyperlink>
      <w:r>
        <w:rPr>
          <w:rFonts w:cstheme="minorHAnsi"/>
        </w:rPr>
        <w:t xml:space="preserve"> i potwierdza, że akceptuje ich treść w tym treść wymogó</w:t>
      </w:r>
      <w:r w:rsidR="00E70F41">
        <w:rPr>
          <w:rFonts w:cstheme="minorHAnsi"/>
        </w:rPr>
        <w:t>w</w:t>
      </w:r>
      <w:r>
        <w:rPr>
          <w:rFonts w:cstheme="minorHAnsi"/>
        </w:rPr>
        <w:t xml:space="preserve"> w zakresie zapewnienia zgodności z zasadą „DNSH” i kryteriami zielonych zamówień.</w:t>
      </w:r>
    </w:p>
    <w:p w14:paraId="337387CC" w14:textId="77777777" w:rsidR="006801AD" w:rsidRDefault="006801AD" w:rsidP="00415E3C">
      <w:pPr>
        <w:spacing w:after="120"/>
        <w:jc w:val="both"/>
        <w:rPr>
          <w:rFonts w:cstheme="minorHAnsi"/>
        </w:rPr>
      </w:pPr>
    </w:p>
    <w:p w14:paraId="1529749D" w14:textId="77777777" w:rsidR="006801AD" w:rsidRPr="00B80C0C" w:rsidRDefault="006801AD" w:rsidP="006801AD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B80C0C">
        <w:rPr>
          <w:rFonts w:eastAsia="Times New Roman" w:cstheme="minorHAnsi"/>
          <w:b/>
          <w:bCs/>
          <w:sz w:val="24"/>
          <w:szCs w:val="24"/>
          <w:lang w:eastAsia="pl-PL"/>
        </w:rPr>
        <w:t>Miejscowość:</w:t>
      </w:r>
      <w:r w:rsidRPr="00B80C0C">
        <w:rPr>
          <w:rFonts w:eastAsia="Times New Roman" w:cstheme="minorHAnsi"/>
          <w:sz w:val="24"/>
          <w:szCs w:val="24"/>
          <w:lang w:eastAsia="pl-PL"/>
        </w:rPr>
        <w:t xml:space="preserve"> ..............................................</w:t>
      </w:r>
      <w:r w:rsidRPr="00B80C0C">
        <w:rPr>
          <w:rFonts w:eastAsia="Times New Roman" w:cstheme="minorHAnsi"/>
          <w:sz w:val="24"/>
          <w:szCs w:val="24"/>
          <w:lang w:eastAsia="pl-PL"/>
        </w:rPr>
        <w:br/>
      </w:r>
      <w:r w:rsidRPr="00B80C0C">
        <w:rPr>
          <w:rFonts w:eastAsia="Times New Roman" w:cstheme="minorHAnsi"/>
          <w:b/>
          <w:bCs/>
          <w:sz w:val="24"/>
          <w:szCs w:val="24"/>
          <w:lang w:eastAsia="pl-PL"/>
        </w:rPr>
        <w:t>Data:</w:t>
      </w:r>
      <w:r w:rsidRPr="00B80C0C">
        <w:rPr>
          <w:rFonts w:eastAsia="Times New Roman" w:cstheme="minorHAnsi"/>
          <w:sz w:val="24"/>
          <w:szCs w:val="24"/>
          <w:lang w:eastAsia="pl-PL"/>
        </w:rPr>
        <w:t xml:space="preserve"> ..............................................</w:t>
      </w:r>
    </w:p>
    <w:p w14:paraId="726B5990" w14:textId="77777777" w:rsidR="006801AD" w:rsidRDefault="006801AD" w:rsidP="006801AD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B80C0C">
        <w:rPr>
          <w:rFonts w:eastAsia="Times New Roman" w:cstheme="minorHAnsi"/>
          <w:b/>
          <w:bCs/>
          <w:sz w:val="24"/>
          <w:szCs w:val="24"/>
          <w:lang w:eastAsia="pl-PL"/>
        </w:rPr>
        <w:t>Podpis i pieczęć Oferenta / osoby upoważnionej do reprezentacji:</w:t>
      </w:r>
    </w:p>
    <w:p w14:paraId="5EDD699A" w14:textId="77777777" w:rsidR="006801AD" w:rsidRDefault="006801AD" w:rsidP="006801AD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pl-PL"/>
        </w:rPr>
      </w:pPr>
    </w:p>
    <w:p w14:paraId="1B57E1CD" w14:textId="09DA2F18" w:rsidR="006801AD" w:rsidRPr="00B80C0C" w:rsidRDefault="006801AD" w:rsidP="006801AD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B80C0C">
        <w:rPr>
          <w:rFonts w:eastAsia="Times New Roman" w:cstheme="minorHAnsi"/>
          <w:sz w:val="24"/>
          <w:szCs w:val="24"/>
          <w:lang w:eastAsia="pl-PL"/>
        </w:rPr>
        <w:br/>
        <w:t>.................................................................</w:t>
      </w:r>
      <w:r w:rsidRPr="00B80C0C">
        <w:rPr>
          <w:rFonts w:eastAsia="Times New Roman" w:cstheme="minorHAnsi"/>
          <w:sz w:val="24"/>
          <w:szCs w:val="24"/>
          <w:lang w:eastAsia="pl-PL"/>
        </w:rPr>
        <w:br/>
      </w:r>
      <w:r w:rsidRPr="00B80C0C">
        <w:rPr>
          <w:rFonts w:eastAsia="Times New Roman" w:cstheme="minorHAnsi"/>
          <w:i/>
          <w:iCs/>
          <w:sz w:val="24"/>
          <w:szCs w:val="24"/>
          <w:lang w:eastAsia="pl-PL"/>
        </w:rPr>
        <w:t>(czytelny podpis, stanowisko służbowe)</w:t>
      </w:r>
    </w:p>
    <w:p w14:paraId="531CB243" w14:textId="77777777" w:rsidR="006801AD" w:rsidRDefault="006801AD" w:rsidP="00415E3C">
      <w:pPr>
        <w:spacing w:after="120"/>
        <w:jc w:val="both"/>
        <w:rPr>
          <w:rFonts w:cstheme="minorHAnsi"/>
        </w:rPr>
      </w:pPr>
    </w:p>
    <w:p w14:paraId="16CF58CF" w14:textId="77777777" w:rsidR="00CB0374" w:rsidRDefault="00CB0374" w:rsidP="00415E3C">
      <w:pPr>
        <w:spacing w:after="120"/>
        <w:jc w:val="both"/>
        <w:rPr>
          <w:rFonts w:cstheme="minorHAnsi"/>
        </w:rPr>
      </w:pPr>
    </w:p>
    <w:p w14:paraId="1FA345EA" w14:textId="77777777" w:rsidR="00CB0374" w:rsidRDefault="00CB0374" w:rsidP="00415E3C">
      <w:pPr>
        <w:spacing w:after="120"/>
        <w:jc w:val="both"/>
        <w:rPr>
          <w:rFonts w:cstheme="minorHAnsi"/>
        </w:rPr>
      </w:pPr>
    </w:p>
    <w:p w14:paraId="2D796F1B" w14:textId="6404EBC2" w:rsidR="00851725" w:rsidRPr="00040922" w:rsidRDefault="00851725" w:rsidP="007C65D8">
      <w:pPr>
        <w:spacing w:after="120"/>
        <w:ind w:left="426"/>
        <w:contextualSpacing/>
        <w:jc w:val="both"/>
        <w:rPr>
          <w:rFonts w:cstheme="minorHAnsi"/>
        </w:rPr>
      </w:pPr>
    </w:p>
    <w:sectPr w:rsidR="00851725" w:rsidRPr="00040922" w:rsidSect="00692523">
      <w:headerReference w:type="default" r:id="rId9"/>
      <w:pgSz w:w="11906" w:h="16838"/>
      <w:pgMar w:top="1843" w:right="1417" w:bottom="1417" w:left="1417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D94A1D" w14:textId="77777777" w:rsidR="0000004E" w:rsidRDefault="0000004E" w:rsidP="00851725">
      <w:pPr>
        <w:spacing w:after="0" w:line="240" w:lineRule="auto"/>
      </w:pPr>
      <w:r>
        <w:separator/>
      </w:r>
    </w:p>
  </w:endnote>
  <w:endnote w:type="continuationSeparator" w:id="0">
    <w:p w14:paraId="436BA1EE" w14:textId="77777777" w:rsidR="0000004E" w:rsidRDefault="0000004E" w:rsidP="008517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059625" w14:textId="77777777" w:rsidR="0000004E" w:rsidRDefault="0000004E" w:rsidP="00851725">
      <w:pPr>
        <w:spacing w:after="0" w:line="240" w:lineRule="auto"/>
      </w:pPr>
      <w:r>
        <w:separator/>
      </w:r>
    </w:p>
  </w:footnote>
  <w:footnote w:type="continuationSeparator" w:id="0">
    <w:p w14:paraId="0BB980A1" w14:textId="77777777" w:rsidR="0000004E" w:rsidRDefault="0000004E" w:rsidP="008517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84C80C" w14:textId="0411EE75" w:rsidR="00692523" w:rsidRDefault="00692523">
    <w:pPr>
      <w:pStyle w:val="Nagwek"/>
    </w:pPr>
  </w:p>
  <w:p w14:paraId="12B18E69" w14:textId="111E9452" w:rsidR="00040922" w:rsidRPr="0013543C" w:rsidRDefault="00040922" w:rsidP="00040922">
    <w:pPr>
      <w:pStyle w:val="Nagwek"/>
    </w:pPr>
  </w:p>
  <w:p w14:paraId="40B100E6" w14:textId="6E914B49" w:rsidR="00040922" w:rsidRPr="0013543C" w:rsidRDefault="00766B15" w:rsidP="00040922">
    <w:pPr>
      <w:pStyle w:val="Nagwek"/>
      <w:tabs>
        <w:tab w:val="clear" w:pos="9072"/>
        <w:tab w:val="left" w:pos="4536"/>
      </w:tabs>
    </w:pPr>
    <w:r w:rsidRPr="00766B15">
      <w:rPr>
        <w:noProof/>
      </w:rPr>
      <w:drawing>
        <wp:inline distT="0" distB="0" distL="0" distR="0" wp14:anchorId="5702217C" wp14:editId="38E72E6C">
          <wp:extent cx="5760720" cy="709930"/>
          <wp:effectExtent l="0" t="0" r="0" b="0"/>
          <wp:docPr id="68242572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8242572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099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040922">
      <w:tab/>
    </w:r>
  </w:p>
  <w:p w14:paraId="30019136" w14:textId="75613792" w:rsidR="00692523" w:rsidRDefault="00692523" w:rsidP="0004092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AF71B2"/>
    <w:multiLevelType w:val="hybridMultilevel"/>
    <w:tmpl w:val="AF90CB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9C3615"/>
    <w:multiLevelType w:val="hybridMultilevel"/>
    <w:tmpl w:val="FB385E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6307515">
    <w:abstractNumId w:val="1"/>
  </w:num>
  <w:num w:numId="2" w16cid:durableId="15102898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26AA"/>
    <w:rsid w:val="0000004E"/>
    <w:rsid w:val="00040922"/>
    <w:rsid w:val="0005353D"/>
    <w:rsid w:val="00073038"/>
    <w:rsid w:val="00083843"/>
    <w:rsid w:val="00083EBF"/>
    <w:rsid w:val="000C6D09"/>
    <w:rsid w:val="000D18F0"/>
    <w:rsid w:val="000E4D64"/>
    <w:rsid w:val="000F0D7E"/>
    <w:rsid w:val="00101798"/>
    <w:rsid w:val="00123027"/>
    <w:rsid w:val="00133D5E"/>
    <w:rsid w:val="00177F17"/>
    <w:rsid w:val="001803AA"/>
    <w:rsid w:val="00182799"/>
    <w:rsid w:val="00196D81"/>
    <w:rsid w:val="001C672D"/>
    <w:rsid w:val="001C7EBF"/>
    <w:rsid w:val="001E5304"/>
    <w:rsid w:val="0020391C"/>
    <w:rsid w:val="002042E5"/>
    <w:rsid w:val="00234D4B"/>
    <w:rsid w:val="002769B4"/>
    <w:rsid w:val="00281C21"/>
    <w:rsid w:val="00295A4D"/>
    <w:rsid w:val="002D7379"/>
    <w:rsid w:val="002E33E3"/>
    <w:rsid w:val="002F27BF"/>
    <w:rsid w:val="00317074"/>
    <w:rsid w:val="0032401D"/>
    <w:rsid w:val="00350B20"/>
    <w:rsid w:val="00351C23"/>
    <w:rsid w:val="0036232F"/>
    <w:rsid w:val="00370DEA"/>
    <w:rsid w:val="003835DA"/>
    <w:rsid w:val="003878DE"/>
    <w:rsid w:val="003A256B"/>
    <w:rsid w:val="003D4F5E"/>
    <w:rsid w:val="003E0B0C"/>
    <w:rsid w:val="003E291B"/>
    <w:rsid w:val="00407840"/>
    <w:rsid w:val="004144E7"/>
    <w:rsid w:val="00415E3C"/>
    <w:rsid w:val="004162FC"/>
    <w:rsid w:val="00423168"/>
    <w:rsid w:val="0046588A"/>
    <w:rsid w:val="004B6F58"/>
    <w:rsid w:val="004D087A"/>
    <w:rsid w:val="004D34C1"/>
    <w:rsid w:val="004E5487"/>
    <w:rsid w:val="00501C08"/>
    <w:rsid w:val="0051124F"/>
    <w:rsid w:val="005256BA"/>
    <w:rsid w:val="0055306C"/>
    <w:rsid w:val="0056203B"/>
    <w:rsid w:val="0056237C"/>
    <w:rsid w:val="005716A0"/>
    <w:rsid w:val="005B1647"/>
    <w:rsid w:val="005B64EB"/>
    <w:rsid w:val="005E7FE2"/>
    <w:rsid w:val="0063024B"/>
    <w:rsid w:val="006638AB"/>
    <w:rsid w:val="006801AD"/>
    <w:rsid w:val="00692523"/>
    <w:rsid w:val="00697066"/>
    <w:rsid w:val="006A7B90"/>
    <w:rsid w:val="00721072"/>
    <w:rsid w:val="0072138E"/>
    <w:rsid w:val="00727841"/>
    <w:rsid w:val="007431E2"/>
    <w:rsid w:val="00744980"/>
    <w:rsid w:val="007526F0"/>
    <w:rsid w:val="00755F33"/>
    <w:rsid w:val="00766B15"/>
    <w:rsid w:val="00783A53"/>
    <w:rsid w:val="007C0D70"/>
    <w:rsid w:val="007C65D8"/>
    <w:rsid w:val="007D0210"/>
    <w:rsid w:val="007F5EEA"/>
    <w:rsid w:val="008020C5"/>
    <w:rsid w:val="00826906"/>
    <w:rsid w:val="00831195"/>
    <w:rsid w:val="00844CFB"/>
    <w:rsid w:val="00851725"/>
    <w:rsid w:val="00870908"/>
    <w:rsid w:val="008A070D"/>
    <w:rsid w:val="008C0EB2"/>
    <w:rsid w:val="009619F5"/>
    <w:rsid w:val="009A75A4"/>
    <w:rsid w:val="009C1311"/>
    <w:rsid w:val="009E5BAE"/>
    <w:rsid w:val="009F53F0"/>
    <w:rsid w:val="009F5776"/>
    <w:rsid w:val="00A073E0"/>
    <w:rsid w:val="00A33338"/>
    <w:rsid w:val="00A373B8"/>
    <w:rsid w:val="00A97826"/>
    <w:rsid w:val="00AB28A0"/>
    <w:rsid w:val="00B42255"/>
    <w:rsid w:val="00B50016"/>
    <w:rsid w:val="00B5578C"/>
    <w:rsid w:val="00B623AE"/>
    <w:rsid w:val="00B93E32"/>
    <w:rsid w:val="00BB326B"/>
    <w:rsid w:val="00BC4553"/>
    <w:rsid w:val="00C2521E"/>
    <w:rsid w:val="00C41435"/>
    <w:rsid w:val="00C80F87"/>
    <w:rsid w:val="00C909C9"/>
    <w:rsid w:val="00C9715C"/>
    <w:rsid w:val="00CB0374"/>
    <w:rsid w:val="00CB143B"/>
    <w:rsid w:val="00CB484A"/>
    <w:rsid w:val="00CB5C88"/>
    <w:rsid w:val="00D41C6D"/>
    <w:rsid w:val="00DD55F2"/>
    <w:rsid w:val="00E05C9F"/>
    <w:rsid w:val="00E64A5C"/>
    <w:rsid w:val="00E70F41"/>
    <w:rsid w:val="00E74EFE"/>
    <w:rsid w:val="00EB0B5E"/>
    <w:rsid w:val="00EB5C59"/>
    <w:rsid w:val="00EC7A1E"/>
    <w:rsid w:val="00EF16AA"/>
    <w:rsid w:val="00F06FB2"/>
    <w:rsid w:val="00F16976"/>
    <w:rsid w:val="00F2584C"/>
    <w:rsid w:val="00F7242C"/>
    <w:rsid w:val="00F80767"/>
    <w:rsid w:val="00FD1D84"/>
    <w:rsid w:val="00FF26AA"/>
    <w:rsid w:val="00FF4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05AA9502"/>
  <w15:docId w15:val="{C42C5B6F-EBA8-4820-A7C1-499B6A12A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172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5172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5172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422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2255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4D34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D34C1"/>
  </w:style>
  <w:style w:type="paragraph" w:styleId="Stopka">
    <w:name w:val="footer"/>
    <w:basedOn w:val="Normalny"/>
    <w:link w:val="StopkaZnak"/>
    <w:uiPriority w:val="99"/>
    <w:unhideWhenUsed/>
    <w:rsid w:val="004D34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D34C1"/>
  </w:style>
  <w:style w:type="paragraph" w:styleId="Akapitzlist">
    <w:name w:val="List Paragraph"/>
    <w:basedOn w:val="Normalny"/>
    <w:uiPriority w:val="34"/>
    <w:qFormat/>
    <w:rsid w:val="0056203B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FF437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F437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F437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F43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F4372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692523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2E33E3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E33E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25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56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15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3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29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34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228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72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9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38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878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68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33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44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zakonkurencyjnosci.funduszeeuropejskie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7AA46D-3E07-4B19-8D3C-1B326D858C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507</Words>
  <Characters>3044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Agro Alians Sp. z o.o.</Company>
  <LinksUpToDate>false</LinksUpToDate>
  <CharactersWithSpaces>3544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Sebastian Gładys</dc:creator>
  <cp:lastModifiedBy>Jakub Łazowski</cp:lastModifiedBy>
  <cp:revision>13</cp:revision>
  <dcterms:created xsi:type="dcterms:W3CDTF">2025-08-26T14:51:00Z</dcterms:created>
  <dcterms:modified xsi:type="dcterms:W3CDTF">2025-11-07T18:59:00Z</dcterms:modified>
</cp:coreProperties>
</file>